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04" w:rsidRPr="00994C11" w:rsidRDefault="001947D5">
      <w:pPr>
        <w:spacing w:after="0"/>
        <w:ind w:left="120"/>
        <w:jc w:val="center"/>
      </w:pPr>
      <w:bookmarkStart w:id="0" w:name="block-3440222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655630E8" wp14:editId="369F19A9">
            <wp:extent cx="6840220" cy="967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04" w:rsidRPr="00A3011C" w:rsidRDefault="001947D5" w:rsidP="00A11C1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" w:name="block-34402224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</w:t>
      </w:r>
      <w:bookmarkStart w:id="2" w:name="_GoBack"/>
      <w:bookmarkEnd w:id="2"/>
      <w:r w:rsidR="00052640" w:rsidRPr="00A3011C">
        <w:rPr>
          <w:rFonts w:ascii="Times New Roman" w:hAnsi="Times New Roman"/>
          <w:b/>
          <w:color w:val="000000"/>
          <w:sz w:val="24"/>
          <w:szCs w:val="24"/>
        </w:rPr>
        <w:t>ЯСНИТЕЛЬНАЯ ЗАПИСКА</w:t>
      </w:r>
    </w:p>
    <w:p w:rsidR="005C3204" w:rsidRPr="00A3011C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C3204" w:rsidRPr="00A3011C" w:rsidRDefault="005C3204">
      <w:pPr>
        <w:spacing w:after="0" w:line="264" w:lineRule="auto"/>
        <w:ind w:left="120"/>
        <w:rPr>
          <w:sz w:val="24"/>
          <w:szCs w:val="24"/>
        </w:rPr>
      </w:pPr>
    </w:p>
    <w:p w:rsidR="00A11C17" w:rsidRPr="00A3011C" w:rsidRDefault="00052640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«ЛИТЕРАТУРНОЕ ЧТЕНИЕ»</w:t>
      </w:r>
    </w:p>
    <w:p w:rsidR="005C3204" w:rsidRPr="00A3011C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3011C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A3011C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11C17" w:rsidRPr="00A3011C" w:rsidRDefault="00A11C1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C3204" w:rsidRPr="00A3011C" w:rsidRDefault="005C3204">
      <w:pPr>
        <w:spacing w:after="0" w:line="264" w:lineRule="auto"/>
        <w:ind w:left="120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C3204" w:rsidRPr="00A3011C" w:rsidRDefault="0005264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3011C">
        <w:rPr>
          <w:rFonts w:ascii="Times New Roman" w:hAnsi="Times New Roman"/>
          <w:color w:val="FF0000"/>
          <w:sz w:val="24"/>
          <w:szCs w:val="24"/>
        </w:rPr>
        <w:t>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11C17" w:rsidRPr="00A3011C" w:rsidRDefault="00A11C17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C3204" w:rsidRPr="00A3011C" w:rsidRDefault="005C3204" w:rsidP="00A11C17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C3204" w:rsidRPr="00A3011C" w:rsidRDefault="00052640" w:rsidP="00A11C17">
      <w:pPr>
        <w:spacing w:after="0" w:line="264" w:lineRule="auto"/>
        <w:ind w:firstLine="600"/>
        <w:jc w:val="both"/>
        <w:rPr>
          <w:sz w:val="24"/>
          <w:szCs w:val="24"/>
        </w:rPr>
        <w:sectPr w:rsidR="005C3204" w:rsidRPr="00A3011C" w:rsidSect="00F03692">
          <w:pgSz w:w="11906" w:h="16383"/>
          <w:pgMar w:top="567" w:right="567" w:bottom="567" w:left="567" w:header="720" w:footer="720" w:gutter="0"/>
          <w:cols w:space="720"/>
        </w:sect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A3011C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3"/>
      <w:r w:rsidRPr="00A3011C">
        <w:rPr>
          <w:rFonts w:ascii="Times New Roman" w:hAnsi="Times New Roman"/>
          <w:color w:val="000000"/>
          <w:sz w:val="24"/>
          <w:szCs w:val="24"/>
        </w:rPr>
        <w:t xml:space="preserve"> составляет вводный интегрированный учебный курс «Обучение грамоте»)</w:t>
      </w:r>
      <w:r w:rsidR="00A11C17" w:rsidRPr="00A3011C">
        <w:rPr>
          <w:rFonts w:ascii="Times New Roman" w:hAnsi="Times New Roman"/>
          <w:color w:val="000000"/>
          <w:sz w:val="24"/>
          <w:szCs w:val="24"/>
        </w:rPr>
        <w:t>.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4" w:name="block-34402222"/>
      <w:bookmarkEnd w:id="1"/>
      <w:r w:rsidRPr="00A3011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bookmarkStart w:id="5" w:name="_ftnref1"/>
      <w:r w:rsidR="0026042E" w:rsidRPr="00A3011C">
        <w:rPr>
          <w:sz w:val="24"/>
          <w:szCs w:val="24"/>
        </w:rPr>
        <w:fldChar w:fldCharType="begin"/>
      </w:r>
      <w:r w:rsidRPr="00A3011C">
        <w:rPr>
          <w:sz w:val="24"/>
          <w:szCs w:val="24"/>
        </w:rPr>
        <w:instrText>HYPERLINK \l "_ftn1" \h</w:instrText>
      </w:r>
      <w:r w:rsidR="0026042E" w:rsidRPr="00A3011C">
        <w:rPr>
          <w:sz w:val="24"/>
          <w:szCs w:val="24"/>
        </w:rPr>
        <w:fldChar w:fldCharType="separate"/>
      </w:r>
      <w:r w:rsidRPr="00A3011C">
        <w:rPr>
          <w:rFonts w:ascii="Times New Roman" w:hAnsi="Times New Roman"/>
          <w:b/>
          <w:color w:val="0000FF"/>
          <w:sz w:val="24"/>
          <w:szCs w:val="24"/>
        </w:rPr>
        <w:t>[1]</w:t>
      </w:r>
      <w:r w:rsidR="0026042E" w:rsidRPr="00A3011C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5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C3204" w:rsidRPr="00A3011C" w:rsidRDefault="00052640" w:rsidP="00A11C17">
      <w:pPr>
        <w:spacing w:after="0" w:line="264" w:lineRule="auto"/>
        <w:ind w:firstLine="60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В.Г.Сутеева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«Кораблик», «Под грибом» </w:t>
      </w:r>
      <w:bookmarkStart w:id="6" w:name="192040c8-9be0-4bcc-9f47-45c543c4cd5f"/>
      <w:r w:rsidRPr="00A3011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6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Произведения о детях и для детей.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«Я – лишний», Ю.И. Ермолаев «Лучший друг» </w:t>
      </w:r>
      <w:bookmarkStart w:id="7" w:name="fea8cf03-c8e1-4ed3-94a3-40e6561a8359"/>
      <w:r w:rsidRPr="00A3011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7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lastRenderedPageBreak/>
        <w:t>Устное народное творчество – малые фольклорные жанры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>, загадки, пословицы.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Произведения о братьях наших меньших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A3011C">
        <w:rPr>
          <w:rFonts w:ascii="Times New Roman" w:hAnsi="Times New Roman"/>
          <w:color w:val="000000"/>
          <w:sz w:val="24"/>
          <w:szCs w:val="24"/>
        </w:rPr>
        <w:t>и другие.</w:t>
      </w:r>
      <w:bookmarkEnd w:id="8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Произведения о маме.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, А. В. Митяева </w:t>
      </w:r>
      <w:bookmarkStart w:id="9" w:name="a3da6f91-f80f-4d4a-8e62-998ba5c8e117"/>
      <w:r w:rsidRPr="00A3011C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A3011C">
        <w:rPr>
          <w:rFonts w:ascii="Times New Roman" w:hAnsi="Times New Roman"/>
          <w:color w:val="000000"/>
          <w:sz w:val="24"/>
          <w:szCs w:val="24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близким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>), проявление любви и заботы о родных людях.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«Мама», А.В. Митяев «За что я люблю маму» </w:t>
      </w:r>
      <w:bookmarkStart w:id="10" w:name="e4e52ce4-82f6-450f-a8ef-39f9bea95300"/>
      <w:r w:rsidRPr="00A3011C">
        <w:rPr>
          <w:rFonts w:ascii="Times New Roman" w:hAnsi="Times New Roman"/>
          <w:color w:val="000000"/>
          <w:sz w:val="24"/>
          <w:szCs w:val="24"/>
        </w:rPr>
        <w:t>и другие (по выбору).</w:t>
      </w:r>
      <w:bookmarkEnd w:id="10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необычными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>, сказочными, фантастическими.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«Моя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Вообразилия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», Ю.П.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Мориц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«Сто фантазий» </w:t>
      </w:r>
      <w:bookmarkStart w:id="11" w:name="1276de16-2d11-43d3-bead-a64a93ae8cc5"/>
      <w:r w:rsidRPr="00A3011C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1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C3204" w:rsidRPr="00A3011C" w:rsidRDefault="0005264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lastRenderedPageBreak/>
        <w:t>Работа с информацией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C3204" w:rsidRPr="00A3011C" w:rsidRDefault="000526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понимать, что те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кст пр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C3204" w:rsidRPr="00A3011C" w:rsidRDefault="0005264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C3204" w:rsidRPr="00A3011C" w:rsidRDefault="000526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5C3204" w:rsidRPr="00A3011C" w:rsidRDefault="000526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высказывать своё отношение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к обсуждаемой проблеме;</w:t>
      </w:r>
    </w:p>
    <w:p w:rsidR="005C3204" w:rsidRPr="00A3011C" w:rsidRDefault="000526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5C3204" w:rsidRPr="00A3011C" w:rsidRDefault="000526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5C3204" w:rsidRPr="00A3011C" w:rsidRDefault="0005264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C3204" w:rsidRPr="00A3011C" w:rsidRDefault="000526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C3204" w:rsidRPr="00A3011C" w:rsidRDefault="000526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5C3204" w:rsidRPr="00A3011C" w:rsidRDefault="0005264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C3204" w:rsidRPr="00A3011C" w:rsidRDefault="000526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5C3204" w:rsidRPr="00A3011C" w:rsidRDefault="0005264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bookmarkStart w:id="12" w:name="_ftn1"/>
    <w:p w:rsidR="005C3204" w:rsidRPr="00A3011C" w:rsidRDefault="0026042E">
      <w:pPr>
        <w:spacing w:after="0" w:line="264" w:lineRule="auto"/>
        <w:ind w:left="120"/>
        <w:jc w:val="both"/>
        <w:rPr>
          <w:sz w:val="24"/>
          <w:szCs w:val="24"/>
        </w:rPr>
      </w:pPr>
      <w:r w:rsidRPr="00A3011C">
        <w:rPr>
          <w:sz w:val="24"/>
          <w:szCs w:val="24"/>
        </w:rPr>
        <w:fldChar w:fldCharType="begin"/>
      </w:r>
      <w:r w:rsidR="00052640" w:rsidRPr="00A3011C">
        <w:rPr>
          <w:sz w:val="24"/>
          <w:szCs w:val="24"/>
        </w:rPr>
        <w:instrText xml:space="preserve"> HYPERLINK \l "_ftnref1" \h </w:instrText>
      </w:r>
      <w:r w:rsidRPr="00A3011C">
        <w:rPr>
          <w:sz w:val="24"/>
          <w:szCs w:val="24"/>
        </w:rPr>
        <w:fldChar w:fldCharType="separate"/>
      </w:r>
      <w:r w:rsidR="00052640" w:rsidRPr="00A3011C">
        <w:rPr>
          <w:rFonts w:ascii="Times New Roman" w:hAnsi="Times New Roman"/>
          <w:color w:val="0000FF"/>
          <w:sz w:val="24"/>
          <w:szCs w:val="24"/>
        </w:rPr>
        <w:t>[1]</w:t>
      </w:r>
      <w:r w:rsidRPr="00A3011C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12"/>
      <w:r w:rsidR="00052640" w:rsidRPr="00A3011C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C3204" w:rsidRPr="00A3011C" w:rsidRDefault="005C3204">
      <w:pPr>
        <w:rPr>
          <w:sz w:val="24"/>
          <w:szCs w:val="24"/>
        </w:rPr>
        <w:sectPr w:rsidR="005C3204" w:rsidRPr="00A3011C" w:rsidSect="00F03692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bookmarkStart w:id="13" w:name="block-34402226"/>
      <w:bookmarkEnd w:id="4"/>
      <w:r w:rsidRPr="00A3011C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A3011C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A3011C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Изучение литературного чтения в 1 класс</w:t>
      </w:r>
      <w:r w:rsidR="00A11C17" w:rsidRPr="00A3011C">
        <w:rPr>
          <w:rFonts w:ascii="Times New Roman" w:hAnsi="Times New Roman"/>
          <w:color w:val="000000"/>
          <w:sz w:val="24"/>
          <w:szCs w:val="24"/>
        </w:rPr>
        <w:t>е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C3204" w:rsidRPr="00A3011C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C3204" w:rsidRPr="00A3011C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C3204" w:rsidRPr="00A3011C" w:rsidRDefault="0005264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5C3204" w:rsidRPr="00A3011C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C3204" w:rsidRPr="00A3011C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C3204" w:rsidRPr="00A3011C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C3204" w:rsidRPr="00A3011C" w:rsidRDefault="0005264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5C3204" w:rsidRPr="00A3011C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C3204" w:rsidRPr="00A3011C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C3204" w:rsidRPr="00A3011C" w:rsidRDefault="0005264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5C3204" w:rsidRPr="00A3011C" w:rsidRDefault="0005264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5C3204" w:rsidRPr="00A3011C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C3204" w:rsidRPr="00A3011C" w:rsidRDefault="0005264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5C3204" w:rsidRPr="00A3011C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C3204" w:rsidRPr="00A3011C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C3204" w:rsidRPr="00A3011C" w:rsidRDefault="0005264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C3204" w:rsidRPr="00A3011C" w:rsidRDefault="0005264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A3011C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C3204" w:rsidRPr="00A3011C" w:rsidRDefault="0005264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204" w:rsidRPr="00A3011C" w:rsidRDefault="0005264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A3011C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A3011C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A3011C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5C3204" w:rsidRPr="00A3011C" w:rsidRDefault="0005264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A3011C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A3011C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A3011C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A3011C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A3011C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C3204" w:rsidRPr="00A3011C" w:rsidRDefault="0005264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A3011C">
        <w:rPr>
          <w:rFonts w:ascii="Times New Roman" w:hAnsi="Times New Roman"/>
          <w:color w:val="000000"/>
          <w:sz w:val="24"/>
          <w:szCs w:val="24"/>
        </w:rPr>
        <w:t>:</w:t>
      </w:r>
    </w:p>
    <w:p w:rsidR="005C3204" w:rsidRPr="00A3011C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C3204" w:rsidRPr="00A3011C" w:rsidRDefault="0005264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C3204" w:rsidRPr="00A3011C" w:rsidRDefault="00052640">
      <w:pPr>
        <w:spacing w:after="0" w:line="264" w:lineRule="auto"/>
        <w:ind w:left="12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5C3204" w:rsidRPr="00A3011C" w:rsidRDefault="0005264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3692" w:rsidRDefault="00F03692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5C3204" w:rsidRPr="00A3011C" w:rsidRDefault="005C320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3204" w:rsidRPr="00A3011C" w:rsidRDefault="00052640">
      <w:pPr>
        <w:spacing w:after="0" w:line="264" w:lineRule="auto"/>
        <w:ind w:firstLine="600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11C17" w:rsidRPr="00A3011C" w:rsidRDefault="00A11C17" w:rsidP="00A11C1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C3204" w:rsidRPr="00A3011C" w:rsidRDefault="00052640" w:rsidP="00A11C17">
      <w:pPr>
        <w:spacing w:after="0" w:line="264" w:lineRule="auto"/>
        <w:ind w:left="120"/>
        <w:jc w:val="center"/>
        <w:rPr>
          <w:sz w:val="24"/>
          <w:szCs w:val="24"/>
        </w:rPr>
      </w:pPr>
      <w:r w:rsidRPr="00A3011C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различать прозаическую (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нестихотворную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>) и стихотворную речь;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3011C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A3011C">
        <w:rPr>
          <w:rFonts w:ascii="Times New Roman" w:hAnsi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C3204" w:rsidRPr="00A3011C" w:rsidRDefault="0005264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A3011C">
        <w:rPr>
          <w:rFonts w:ascii="Times New Roman" w:hAnsi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C3204" w:rsidRDefault="005C3204">
      <w:pPr>
        <w:sectPr w:rsidR="005C3204" w:rsidSect="00F03692">
          <w:pgSz w:w="11906" w:h="16383"/>
          <w:pgMar w:top="567" w:right="567" w:bottom="567" w:left="567" w:header="720" w:footer="720" w:gutter="0"/>
          <w:cols w:space="720"/>
        </w:sectPr>
      </w:pPr>
    </w:p>
    <w:p w:rsidR="005C3204" w:rsidRDefault="00052640" w:rsidP="00034F6B">
      <w:pPr>
        <w:spacing w:after="0"/>
        <w:ind w:left="120"/>
        <w:jc w:val="center"/>
      </w:pPr>
      <w:bookmarkStart w:id="14" w:name="block-344022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C3204" w:rsidRDefault="00052640" w:rsidP="00034F6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021"/>
        <w:gridCol w:w="1103"/>
        <w:gridCol w:w="1841"/>
        <w:gridCol w:w="1910"/>
        <w:gridCol w:w="2326"/>
      </w:tblGrid>
      <w:tr w:rsidR="005C3204" w:rsidTr="00837B9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204" w:rsidRDefault="005C3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Default="005C3204"/>
        </w:tc>
      </w:tr>
      <w:tr w:rsidR="005C3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204" w:rsidRDefault="00052640" w:rsidP="00A30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83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  <w:r w:rsidR="000526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 w:rsidP="0083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7B9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04" w:rsidRDefault="005C3204"/>
        </w:tc>
      </w:tr>
      <w:tr w:rsidR="005C3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204" w:rsidRDefault="00052640" w:rsidP="00A30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 w:rsidTr="00837B9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>
            <w:pPr>
              <w:spacing w:after="0"/>
              <w:ind w:left="135"/>
            </w:pPr>
          </w:p>
        </w:tc>
      </w:tr>
      <w:tr w:rsidR="005C3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204" w:rsidRDefault="005C3204"/>
        </w:tc>
      </w:tr>
      <w:tr w:rsidR="005C3204" w:rsidTr="00837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204" w:rsidRDefault="00052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204" w:rsidRDefault="005C3204"/>
        </w:tc>
      </w:tr>
    </w:tbl>
    <w:p w:rsidR="005C3204" w:rsidRDefault="005C3204">
      <w:pPr>
        <w:sectPr w:rsidR="005C3204" w:rsidSect="00F03692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F03692" w:rsidRDefault="00052640" w:rsidP="00F440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5" w:name="block-3440222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3204" w:rsidRDefault="00052640" w:rsidP="00F440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10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536"/>
        <w:gridCol w:w="846"/>
        <w:gridCol w:w="1281"/>
        <w:gridCol w:w="1134"/>
        <w:gridCol w:w="1134"/>
        <w:gridCol w:w="1418"/>
      </w:tblGrid>
      <w:tr w:rsidR="00A3011C" w:rsidRPr="00A3011C" w:rsidTr="00F0369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>
            <w:pPr>
              <w:spacing w:after="0"/>
              <w:ind w:left="135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>
            <w:pPr>
              <w:spacing w:after="0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 w:rsidP="00A3011C">
            <w:pPr>
              <w:spacing w:after="0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 w:rsidP="00A3011C">
            <w:pPr>
              <w:spacing w:after="0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3011C" w:rsidRPr="00A3011C" w:rsidTr="00F0369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A3011C" w:rsidRDefault="005C320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A3011C" w:rsidRDefault="005C320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A3011C" w:rsidRDefault="00052640" w:rsidP="00A3011C">
            <w:pPr>
              <w:spacing w:after="0"/>
              <w:rPr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3692" w:rsidRDefault="00052640" w:rsidP="004255E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</w:t>
            </w:r>
          </w:p>
          <w:p w:rsidR="005C3204" w:rsidRPr="00A3011C" w:rsidRDefault="00052640" w:rsidP="004255EF">
            <w:pPr>
              <w:spacing w:after="0"/>
              <w:rPr>
                <w:sz w:val="20"/>
                <w:szCs w:val="20"/>
              </w:rPr>
            </w:pPr>
            <w:proofErr w:type="spellStart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03692" w:rsidRDefault="00052640" w:rsidP="004255E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proofErr w:type="spellEnd"/>
          </w:p>
          <w:p w:rsidR="005C3204" w:rsidRPr="00A3011C" w:rsidRDefault="00052640" w:rsidP="004255EF">
            <w:pPr>
              <w:spacing w:after="0"/>
              <w:rPr>
                <w:sz w:val="20"/>
                <w:szCs w:val="20"/>
              </w:rPr>
            </w:pPr>
            <w:proofErr w:type="spellStart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ческие</w:t>
            </w:r>
            <w:proofErr w:type="spellEnd"/>
            <w:r w:rsidRPr="00A301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работы </w:t>
            </w:r>
          </w:p>
          <w:p w:rsidR="005C3204" w:rsidRPr="00A3011C" w:rsidRDefault="005C320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A3011C" w:rsidRDefault="005C32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204" w:rsidRPr="00A3011C" w:rsidRDefault="005C3204">
            <w:pPr>
              <w:rPr>
                <w:sz w:val="20"/>
                <w:szCs w:val="20"/>
              </w:rPr>
            </w:pPr>
          </w:p>
        </w:tc>
      </w:tr>
      <w:tr w:rsidR="00A3011C" w:rsidRPr="00034F6B" w:rsidTr="00F03692">
        <w:trPr>
          <w:trHeight w:val="391"/>
          <w:tblCellSpacing w:w="20" w:type="nil"/>
        </w:trPr>
        <w:tc>
          <w:tcPr>
            <w:tcW w:w="11016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A3011C" w:rsidRDefault="00A3011C" w:rsidP="00034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  <w:p w:rsidR="00034F6B" w:rsidRPr="00034F6B" w:rsidRDefault="00034F6B" w:rsidP="00034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4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4F6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32 часа</w:t>
            </w: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Слово и слог. Как образуется слог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Гласные и согласные звуки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Сравнение звуков по твёрдости-мягкости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Гласные и согласные звуки. Участие в диалоге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A3011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05264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C3204" w:rsidRPr="001B34AF" w:rsidRDefault="005C3204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</w:t>
            </w:r>
            <w:r w:rsidRPr="001B34AF">
              <w:rPr>
                <w:rFonts w:ascii="Times New Roman" w:hAnsi="Times New Roman"/>
                <w:sz w:val="24"/>
              </w:rPr>
              <w:lastRenderedPageBreak/>
              <w:t>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а. Звук [а]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а в слоге-слиянии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о. Звук [о]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Функция буквы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о в слоге-слиянии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и. Звук [и]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Буквы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и, их функция в слоге-слиянии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BF4B7C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 w:rsidP="0043741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буквой ы. Звук [ы]. 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F4B7C" w:rsidRPr="001B34AF" w:rsidRDefault="00BF4B7C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B16EA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B34AF">
              <w:rPr>
                <w:rFonts w:ascii="Times New Roman" w:hAnsi="Times New Roman"/>
                <w:sz w:val="24"/>
              </w:rPr>
              <w:t>Буква ы, её функция в слоге-слиянии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1B34A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BF4B7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у. Звук [у]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1A1BD4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6B374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1A1BD4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4D60CF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у. Буквы У, у, их функция в слоге-слиянии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2F5774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0A19A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B34AF">
              <w:rPr>
                <w:rFonts w:ascii="Times New Roman" w:hAnsi="Times New Roman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43741B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 w:rsidP="002F5774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41B" w:rsidRPr="001B34AF" w:rsidRDefault="0043741B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6F249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6F249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с. Звуки [с], [с’]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6F249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5395B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1B34A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32 часа</w:t>
            </w: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5219D7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к. Звуки [к], [к’]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5219D7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5219D7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5219D7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D16F0F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</w:t>
            </w:r>
            <w:r w:rsidRPr="001B34AF">
              <w:rPr>
                <w:rFonts w:ascii="Times New Roman" w:hAnsi="Times New Roman"/>
                <w:sz w:val="24"/>
              </w:rPr>
              <w:lastRenderedPageBreak/>
              <w:t>буквами Л, 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D16F0F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р. Согласные звуки [р], [р’]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D16F0F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C83D6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в. Согласные звуки [в], [в’]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C83D6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C83D6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е. Звуки [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й’э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], [’э]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C83D6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C83D6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п. Согласные звуки [п], [п’]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4366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4366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4366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8355F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з. Звуки [з], [з’]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8355F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8355F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8355F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Закрепление знаний о буквах Б, б. Сопоставление звуков [б] - [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8355F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д. Согласные звуки [д], [д’]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105D2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д. Сопоставление звуков [д] - [т]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1333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буквами Я, я. Звуки [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й’а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], [’а]. Двойная роль букв Я, 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1333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В.Г.Сутеев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1333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1333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Закрепление знаний о буквах Г, г. Сопоставление звуков [г] - [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].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E1333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буквами Ч, ч. Звук [ч’]. Сочетания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ЧА — ЧУ</w:t>
            </w:r>
            <w:proofErr w:type="gram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5EE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5EE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7B5EE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"В школу".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D47068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Ш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, ш. 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Ш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ш. Звук [ш]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C00506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 w:rsidP="00D47068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Отработка навыка чтения предложений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Ш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ш. Слушание литературного произведения о животных. Произведение по выбору, например, М.М. Пришвин "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Лисичкин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хлеб"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00506" w:rsidRPr="001B34AF" w:rsidRDefault="00C00506">
            <w:pPr>
              <w:spacing w:after="0"/>
              <w:ind w:left="135"/>
            </w:pPr>
          </w:p>
        </w:tc>
      </w:tr>
      <w:tr w:rsidR="00996130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 w:rsidP="007F6C52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 w:rsidP="00F66B9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1B34A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</w:pPr>
          </w:p>
        </w:tc>
      </w:tr>
      <w:tr w:rsidR="00996130" w:rsidRPr="001B34AF" w:rsidTr="00F03692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 w:rsidP="008465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1B34A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40 часов</w:t>
            </w:r>
          </w:p>
        </w:tc>
      </w:tr>
      <w:tr w:rsidR="00996130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 w:rsidP="00FA2C09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 w:rsidP="00370664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ж. Сочетания ЖИ — ШИ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130" w:rsidRPr="001B34AF" w:rsidRDefault="00996130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FA2C09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3238C4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ё. Звуки [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й’о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], [’о]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8B36D2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300CF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Проведение звукового анализа слов с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8B36D2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300CF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5B2635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Железников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 История с азбукой".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5B2635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 Х, х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роведение звукового анализа слов с буквами Х, 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5B2635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4015EF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Отработка навыка чтения. На примере </w:t>
            </w:r>
            <w:r w:rsidRPr="001B34AF">
              <w:rPr>
                <w:rFonts w:ascii="Times New Roman" w:hAnsi="Times New Roman"/>
                <w:sz w:val="24"/>
              </w:rPr>
              <w:lastRenderedPageBreak/>
              <w:t>произведения Л.Н. Толстого "Ехали два мужика..."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49261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4D60CF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Ю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, ю. 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Ю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ю. Звуки [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й’у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], [’у]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74311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4D60C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Ю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ю. Звуки [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й’у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], [’у]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1B34A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1749B9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Ц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, ц. 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Ц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ц. Согласный звук [ц]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FF10FA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6D01F3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DB31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Отработка техники чтения. На примере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проивзедений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В. Д. Берестов. «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Читалочка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». Е. И.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FD42FF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Щ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щ. Звук [щ’]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F7417A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Щ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, щ. Сочетания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ЧА — ЩА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, ЧУ — ЩУ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E40FA2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 w:rsidP="00F7417A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буквами Ф, ф. Звук [ф]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40FA2" w:rsidRPr="001B34AF" w:rsidRDefault="00E40FA2">
            <w:pPr>
              <w:spacing w:after="0"/>
              <w:ind w:left="135"/>
            </w:pPr>
          </w:p>
        </w:tc>
      </w:tr>
      <w:tr w:rsidR="00933433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1C16A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4D60CF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буквами Ф, ф. Звук [ф]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</w:tr>
      <w:tr w:rsidR="00933433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F21E79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</w:tr>
      <w:tr w:rsidR="00933433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9728B5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</w:tr>
      <w:tr w:rsidR="00933433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9728B5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Выразительное чтение на примере стихотворений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А.Л.Барто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</w:tr>
      <w:tr w:rsidR="00933433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 w:rsidP="00E6209A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Обобщение знаний о буквах. Русский алфавит</w:t>
            </w:r>
            <w:r w:rsidR="002A596D" w:rsidRPr="001B34AF">
              <w:rPr>
                <w:rFonts w:ascii="Times New Roman" w:hAnsi="Times New Roman"/>
                <w:sz w:val="24"/>
              </w:rPr>
              <w:t xml:space="preserve">. Чтение произведений о буквах алфавита. С.Я.Маршак "Ты эти буквы </w:t>
            </w:r>
            <w:r w:rsidR="002A596D" w:rsidRPr="001B34AF">
              <w:rPr>
                <w:rFonts w:ascii="Times New Roman" w:hAnsi="Times New Roman"/>
                <w:sz w:val="24"/>
              </w:rPr>
              <w:lastRenderedPageBreak/>
              <w:t>заучи"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33433" w:rsidRPr="001B34AF" w:rsidRDefault="00933433">
            <w:pPr>
              <w:spacing w:after="0"/>
              <w:ind w:left="135"/>
            </w:pPr>
          </w:p>
        </w:tc>
      </w:tr>
      <w:tr w:rsidR="002A596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 w:rsidP="00E6209A">
            <w:pPr>
              <w:spacing w:after="0"/>
            </w:pPr>
            <w:r w:rsidRPr="001B34AF">
              <w:lastRenderedPageBreak/>
              <w:t>86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 w:rsidP="0083647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</w:pPr>
          </w:p>
        </w:tc>
      </w:tr>
      <w:tr w:rsidR="002A596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 w:rsidP="00E6209A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 w:rsidP="00444CC1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 Слушание литературных (авторских) сказок. Сказка К.Чуковского "Муха-Цокотуха"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596D" w:rsidRPr="001B34AF" w:rsidRDefault="002A596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6C655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F32985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Определение темы произведения: о животных. На примере произведений Е.И.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6C655C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8F56FC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Чтение небольших произведений о животных Н.И. Сладкова. Чтение рассказов о животных. Ответы на вопросы по содержанию произведения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CA2D7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56521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Чтение небольших произведений Л.Н. Толстого и  Н.Н. Носова о детях. Ответы на вопросы по содержанию произведения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CA2D7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956244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CA2D7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9F4071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 Слушание литературных произведений. Е.Ф. Трутнева "Когда это бывает?"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курс</w:t>
            </w: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BB7F42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762325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22609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762325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Токмаковой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«Аля,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Кляксич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и буква «А»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9C009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762325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9C009E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D061C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Сутеева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"Под грибом", "Кораблик"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700E40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BF6D3F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CF282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AD0EC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CF282B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AD0EC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1A3CE2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1B442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>, загадка, пословица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5E2DCF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1B4420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2B7A2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0F5CB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Игровой народный фольклор: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потешки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2B7A21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0F5CBB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F770C9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74517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Мир фантазий и чудес в произведениях Б. В.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Заходер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"Моя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Вообразилия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", Ю.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Мориц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"Сто фантазий" и других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11016" w:type="dxa"/>
            <w:gridSpan w:val="7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 w:rsidP="00BF4B7C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1B34A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28 часов</w:t>
            </w: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Открытие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чудесного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Сефа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«Чудо»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Работа с детскими книгами.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Отражении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в иллюстрации эмоционального отклика </w:t>
            </w:r>
            <w:r w:rsidRPr="001B34AF">
              <w:rPr>
                <w:rFonts w:ascii="Times New Roman" w:hAnsi="Times New Roman"/>
                <w:sz w:val="24"/>
              </w:rPr>
              <w:lastRenderedPageBreak/>
              <w:t>на произведение.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"Помощник"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«Я – лишний», Р. С.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Сефа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Пляцковского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"Сердитый дог Буль"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Осознание отражённых в произведении </w:t>
            </w: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понятий: чувство любви матери к ребёнку, детей к матери,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близким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1B34AF">
              <w:rPr>
                <w:rFonts w:ascii="Times New Roman" w:hAnsi="Times New Roman"/>
                <w:sz w:val="24"/>
              </w:rPr>
              <w:t>книге</w:t>
            </w:r>
            <w:proofErr w:type="gramEnd"/>
            <w:r w:rsidRPr="001B34AF">
              <w:rPr>
                <w:rFonts w:ascii="Times New Roman" w:hAnsi="Times New Roman"/>
                <w:sz w:val="24"/>
              </w:rPr>
              <w:t xml:space="preserve"> о животных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1B34AF">
              <w:rPr>
                <w:rFonts w:ascii="Times New Roman" w:hAnsi="Times New Roman"/>
                <w:sz w:val="24"/>
              </w:rPr>
              <w:t>Чарушина</w:t>
            </w:r>
            <w:proofErr w:type="spellEnd"/>
            <w:r w:rsidRPr="001B34AF">
              <w:rPr>
                <w:rFonts w:ascii="Times New Roman" w:hAnsi="Times New Roman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</w:pPr>
            <w:r w:rsidRPr="001B34AF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Собаки — защитники Родины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</w:p>
        </w:tc>
      </w:tr>
      <w:tr w:rsidR="00A748BD" w:rsidRPr="001B34AF" w:rsidTr="00F0369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</w:pPr>
            <w:r w:rsidRPr="001B34A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>
            <w:pPr>
              <w:spacing w:after="0"/>
              <w:ind w:left="135"/>
              <w:jc w:val="center"/>
            </w:pPr>
            <w:r w:rsidRPr="001B34AF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A748BD" w:rsidRPr="001B34AF" w:rsidRDefault="00A748BD"/>
        </w:tc>
      </w:tr>
      <w:bookmarkEnd w:id="15"/>
    </w:tbl>
    <w:p w:rsidR="00052640" w:rsidRPr="001B34AF" w:rsidRDefault="00052640" w:rsidP="00F03692"/>
    <w:sectPr w:rsidR="00052640" w:rsidRPr="001B34AF" w:rsidSect="00F03692">
      <w:pgSz w:w="11906" w:h="16383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FD7"/>
    <w:multiLevelType w:val="multilevel"/>
    <w:tmpl w:val="7742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E7876"/>
    <w:multiLevelType w:val="multilevel"/>
    <w:tmpl w:val="2768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7252"/>
    <w:multiLevelType w:val="multilevel"/>
    <w:tmpl w:val="E926E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67024"/>
    <w:multiLevelType w:val="multilevel"/>
    <w:tmpl w:val="D22E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933C1"/>
    <w:multiLevelType w:val="multilevel"/>
    <w:tmpl w:val="5E9CE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6B03"/>
    <w:multiLevelType w:val="multilevel"/>
    <w:tmpl w:val="5F2C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B713D"/>
    <w:multiLevelType w:val="multilevel"/>
    <w:tmpl w:val="1B92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F091C"/>
    <w:multiLevelType w:val="multilevel"/>
    <w:tmpl w:val="2F380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95D92"/>
    <w:multiLevelType w:val="multilevel"/>
    <w:tmpl w:val="D592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85CEA"/>
    <w:multiLevelType w:val="multilevel"/>
    <w:tmpl w:val="758AA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A2E3D"/>
    <w:multiLevelType w:val="multilevel"/>
    <w:tmpl w:val="2FA2C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E3176"/>
    <w:multiLevelType w:val="multilevel"/>
    <w:tmpl w:val="7778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76F34"/>
    <w:multiLevelType w:val="multilevel"/>
    <w:tmpl w:val="EC285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76418"/>
    <w:multiLevelType w:val="multilevel"/>
    <w:tmpl w:val="8FAAF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36C22"/>
    <w:multiLevelType w:val="multilevel"/>
    <w:tmpl w:val="5ACA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D4932"/>
    <w:multiLevelType w:val="multilevel"/>
    <w:tmpl w:val="6B90D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B2764"/>
    <w:multiLevelType w:val="multilevel"/>
    <w:tmpl w:val="C56C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A2A39"/>
    <w:multiLevelType w:val="multilevel"/>
    <w:tmpl w:val="206A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8E2432"/>
    <w:multiLevelType w:val="multilevel"/>
    <w:tmpl w:val="7CD6B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47C89"/>
    <w:multiLevelType w:val="multilevel"/>
    <w:tmpl w:val="CB7CC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227BD"/>
    <w:multiLevelType w:val="multilevel"/>
    <w:tmpl w:val="8764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B60FB"/>
    <w:multiLevelType w:val="multilevel"/>
    <w:tmpl w:val="6C90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17BC2"/>
    <w:multiLevelType w:val="multilevel"/>
    <w:tmpl w:val="43BE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426666"/>
    <w:multiLevelType w:val="multilevel"/>
    <w:tmpl w:val="42DA2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A52DB"/>
    <w:multiLevelType w:val="multilevel"/>
    <w:tmpl w:val="A85C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5B3C31"/>
    <w:multiLevelType w:val="multilevel"/>
    <w:tmpl w:val="C3C29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8F42AF"/>
    <w:multiLevelType w:val="multilevel"/>
    <w:tmpl w:val="DCF2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203A4"/>
    <w:multiLevelType w:val="multilevel"/>
    <w:tmpl w:val="95C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9421D"/>
    <w:multiLevelType w:val="multilevel"/>
    <w:tmpl w:val="4BDE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82A38"/>
    <w:multiLevelType w:val="multilevel"/>
    <w:tmpl w:val="E52C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85A2A"/>
    <w:multiLevelType w:val="multilevel"/>
    <w:tmpl w:val="70DE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7711F"/>
    <w:multiLevelType w:val="multilevel"/>
    <w:tmpl w:val="ECC0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21E89"/>
    <w:multiLevelType w:val="multilevel"/>
    <w:tmpl w:val="5B761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F01C6"/>
    <w:multiLevelType w:val="multilevel"/>
    <w:tmpl w:val="8140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84324F"/>
    <w:multiLevelType w:val="multilevel"/>
    <w:tmpl w:val="82B6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533F0"/>
    <w:multiLevelType w:val="multilevel"/>
    <w:tmpl w:val="6E22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C42BC"/>
    <w:multiLevelType w:val="multilevel"/>
    <w:tmpl w:val="D22C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0"/>
  </w:num>
  <w:num w:numId="3">
    <w:abstractNumId w:val="21"/>
  </w:num>
  <w:num w:numId="4">
    <w:abstractNumId w:val="32"/>
  </w:num>
  <w:num w:numId="5">
    <w:abstractNumId w:val="27"/>
  </w:num>
  <w:num w:numId="6">
    <w:abstractNumId w:val="36"/>
  </w:num>
  <w:num w:numId="7">
    <w:abstractNumId w:val="31"/>
  </w:num>
  <w:num w:numId="8">
    <w:abstractNumId w:val="25"/>
  </w:num>
  <w:num w:numId="9">
    <w:abstractNumId w:val="16"/>
  </w:num>
  <w:num w:numId="10">
    <w:abstractNumId w:val="2"/>
  </w:num>
  <w:num w:numId="11">
    <w:abstractNumId w:val="22"/>
  </w:num>
  <w:num w:numId="12">
    <w:abstractNumId w:val="3"/>
  </w:num>
  <w:num w:numId="13">
    <w:abstractNumId w:val="14"/>
  </w:num>
  <w:num w:numId="14">
    <w:abstractNumId w:val="35"/>
  </w:num>
  <w:num w:numId="15">
    <w:abstractNumId w:val="33"/>
  </w:num>
  <w:num w:numId="16">
    <w:abstractNumId w:val="20"/>
  </w:num>
  <w:num w:numId="17">
    <w:abstractNumId w:val="29"/>
  </w:num>
  <w:num w:numId="18">
    <w:abstractNumId w:val="5"/>
  </w:num>
  <w:num w:numId="19">
    <w:abstractNumId w:val="18"/>
  </w:num>
  <w:num w:numId="20">
    <w:abstractNumId w:val="17"/>
  </w:num>
  <w:num w:numId="21">
    <w:abstractNumId w:val="4"/>
  </w:num>
  <w:num w:numId="22">
    <w:abstractNumId w:val="15"/>
  </w:num>
  <w:num w:numId="23">
    <w:abstractNumId w:val="11"/>
  </w:num>
  <w:num w:numId="24">
    <w:abstractNumId w:val="1"/>
  </w:num>
  <w:num w:numId="25">
    <w:abstractNumId w:val="26"/>
  </w:num>
  <w:num w:numId="26">
    <w:abstractNumId w:val="9"/>
  </w:num>
  <w:num w:numId="27">
    <w:abstractNumId w:val="19"/>
  </w:num>
  <w:num w:numId="28">
    <w:abstractNumId w:val="0"/>
  </w:num>
  <w:num w:numId="29">
    <w:abstractNumId w:val="30"/>
  </w:num>
  <w:num w:numId="30">
    <w:abstractNumId w:val="8"/>
  </w:num>
  <w:num w:numId="31">
    <w:abstractNumId w:val="28"/>
  </w:num>
  <w:num w:numId="32">
    <w:abstractNumId w:val="6"/>
  </w:num>
  <w:num w:numId="33">
    <w:abstractNumId w:val="7"/>
  </w:num>
  <w:num w:numId="34">
    <w:abstractNumId w:val="23"/>
  </w:num>
  <w:num w:numId="35">
    <w:abstractNumId w:val="13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3204"/>
    <w:rsid w:val="00034F6B"/>
    <w:rsid w:val="00052640"/>
    <w:rsid w:val="001947D5"/>
    <w:rsid w:val="001B34AF"/>
    <w:rsid w:val="001D3CE6"/>
    <w:rsid w:val="0026042E"/>
    <w:rsid w:val="002A596D"/>
    <w:rsid w:val="004255EF"/>
    <w:rsid w:val="0043741B"/>
    <w:rsid w:val="005C3204"/>
    <w:rsid w:val="00837B91"/>
    <w:rsid w:val="00933433"/>
    <w:rsid w:val="00994C11"/>
    <w:rsid w:val="00996130"/>
    <w:rsid w:val="00A11C17"/>
    <w:rsid w:val="00A3011C"/>
    <w:rsid w:val="00A748BD"/>
    <w:rsid w:val="00BF4B7C"/>
    <w:rsid w:val="00C00506"/>
    <w:rsid w:val="00D77C80"/>
    <w:rsid w:val="00E40FA2"/>
    <w:rsid w:val="00F03692"/>
    <w:rsid w:val="00F4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D3CE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3C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3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A833-47F3-47AB-8858-2D8FB08E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11</cp:revision>
  <dcterms:created xsi:type="dcterms:W3CDTF">2024-08-26T06:57:00Z</dcterms:created>
  <dcterms:modified xsi:type="dcterms:W3CDTF">2024-11-21T07:36:00Z</dcterms:modified>
</cp:coreProperties>
</file>